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1E" w:rsidRPr="005F3FEC" w:rsidRDefault="00522AFD" w:rsidP="00A93BF3">
      <w:pPr>
        <w:tabs>
          <w:tab w:val="center" w:pos="4536"/>
          <w:tab w:val="right" w:pos="9072"/>
        </w:tabs>
        <w:jc w:val="both"/>
        <w:rPr>
          <w:rFonts w:asciiTheme="majorBidi" w:hAnsiTheme="majorBidi" w:cstheme="majorBidi"/>
          <w:bCs/>
          <w:sz w:val="24"/>
          <w:szCs w:val="24"/>
        </w:rPr>
      </w:pPr>
      <w:r w:rsidRPr="005F3FEC"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0F5ED3">
        <w:rPr>
          <w:rFonts w:asciiTheme="majorBidi" w:hAnsiTheme="majorBidi" w:cstheme="majorBidi"/>
          <w:bCs/>
          <w:sz w:val="24"/>
          <w:szCs w:val="24"/>
        </w:rPr>
        <w:tab/>
      </w:r>
      <w:r w:rsidR="007377A3">
        <w:rPr>
          <w:rFonts w:asciiTheme="majorBidi" w:hAnsiTheme="majorBidi" w:cstheme="majorBidi"/>
          <w:bCs/>
          <w:sz w:val="24"/>
          <w:szCs w:val="24"/>
          <w:lang w:val="tr-TR"/>
        </w:rPr>
        <w:t>Ali Kuşçu</w:t>
      </w:r>
      <w:r w:rsidR="007377A3"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İlkokulu</w:t>
      </w:r>
      <w:r w:rsidR="003818D4" w:rsidRPr="005F3FE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w w:val="105"/>
          <w:sz w:val="24"/>
          <w:szCs w:val="24"/>
          <w:lang w:val="tr-TR"/>
        </w:rPr>
        <w:t>olarak</w:t>
      </w:r>
      <w:r w:rsidR="003818D4" w:rsidRPr="005F3FEC">
        <w:rPr>
          <w:rFonts w:asciiTheme="majorBidi" w:hAnsiTheme="majorBidi" w:cstheme="majorBidi"/>
          <w:bCs/>
          <w:color w:val="282828"/>
          <w:spacing w:val="10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161616"/>
          <w:w w:val="105"/>
          <w:sz w:val="24"/>
          <w:szCs w:val="24"/>
          <w:lang w:val="tr-TR"/>
        </w:rPr>
        <w:t>hayata</w:t>
      </w:r>
      <w:r w:rsidR="003818D4" w:rsidRPr="005F3FEC">
        <w:rPr>
          <w:rFonts w:asciiTheme="majorBidi" w:hAnsiTheme="majorBidi" w:cstheme="majorBidi"/>
          <w:bCs/>
          <w:color w:val="161616"/>
          <w:spacing w:val="15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w w:val="105"/>
          <w:sz w:val="24"/>
          <w:szCs w:val="24"/>
          <w:lang w:val="tr-TR"/>
        </w:rPr>
        <w:t>ve</w:t>
      </w:r>
      <w:r w:rsidR="003818D4" w:rsidRPr="005F3FEC">
        <w:rPr>
          <w:rFonts w:asciiTheme="majorBidi" w:hAnsiTheme="majorBidi" w:cstheme="majorBidi"/>
          <w:bCs/>
          <w:color w:val="282828"/>
          <w:spacing w:val="-6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3A3A3A"/>
          <w:w w:val="105"/>
          <w:sz w:val="24"/>
          <w:szCs w:val="24"/>
          <w:lang w:val="tr-TR"/>
        </w:rPr>
        <w:t>ya</w:t>
      </w:r>
      <w:r w:rsidR="003818D4" w:rsidRPr="005F3FEC">
        <w:rPr>
          <w:rFonts w:asciiTheme="majorBidi" w:hAnsiTheme="majorBidi" w:cstheme="majorBidi"/>
          <w:bCs/>
          <w:color w:val="3A3A3A"/>
          <w:spacing w:val="5"/>
          <w:w w:val="105"/>
          <w:sz w:val="24"/>
          <w:szCs w:val="24"/>
          <w:lang w:val="tr-TR"/>
        </w:rPr>
        <w:t>ş</w:t>
      </w:r>
      <w:r w:rsidR="003818D4" w:rsidRPr="005F3FEC">
        <w:rPr>
          <w:rFonts w:asciiTheme="majorBidi" w:hAnsiTheme="majorBidi" w:cstheme="majorBidi"/>
          <w:bCs/>
          <w:color w:val="3A3A3A"/>
          <w:w w:val="105"/>
          <w:sz w:val="24"/>
          <w:szCs w:val="24"/>
          <w:lang w:val="tr-TR"/>
        </w:rPr>
        <w:t>ama</w:t>
      </w:r>
      <w:r w:rsidR="003818D4" w:rsidRPr="005F3FEC">
        <w:rPr>
          <w:rFonts w:asciiTheme="majorBidi" w:hAnsiTheme="majorBidi" w:cstheme="majorBidi"/>
          <w:bCs/>
          <w:color w:val="3A3A3A"/>
          <w:spacing w:val="31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161616"/>
          <w:w w:val="105"/>
          <w:sz w:val="24"/>
          <w:szCs w:val="24"/>
          <w:lang w:val="tr-TR"/>
        </w:rPr>
        <w:t>d</w:t>
      </w:r>
      <w:r w:rsidR="003818D4" w:rsidRPr="005F3FEC">
        <w:rPr>
          <w:rFonts w:asciiTheme="majorBidi" w:hAnsiTheme="majorBidi" w:cstheme="majorBidi"/>
          <w:bCs/>
          <w:color w:val="161616"/>
          <w:spacing w:val="-3"/>
          <w:w w:val="105"/>
          <w:sz w:val="24"/>
          <w:szCs w:val="24"/>
          <w:lang w:val="tr-TR"/>
        </w:rPr>
        <w:t>e</w:t>
      </w:r>
      <w:r w:rsidR="003818D4" w:rsidRPr="005F3FEC">
        <w:rPr>
          <w:rFonts w:asciiTheme="majorBidi" w:hAnsiTheme="majorBidi" w:cstheme="majorBidi"/>
          <w:bCs/>
          <w:color w:val="3A3A3A"/>
          <w:w w:val="105"/>
          <w:sz w:val="24"/>
          <w:szCs w:val="24"/>
          <w:lang w:val="tr-TR"/>
        </w:rPr>
        <w:t>ğ</w:t>
      </w:r>
      <w:r w:rsidR="003818D4" w:rsidRPr="005F3FEC">
        <w:rPr>
          <w:rFonts w:asciiTheme="majorBidi" w:hAnsiTheme="majorBidi" w:cstheme="majorBidi"/>
          <w:bCs/>
          <w:color w:val="3A3A3A"/>
          <w:spacing w:val="-12"/>
          <w:w w:val="105"/>
          <w:sz w:val="24"/>
          <w:szCs w:val="24"/>
          <w:lang w:val="tr-TR"/>
        </w:rPr>
        <w:t>e</w:t>
      </w:r>
      <w:r w:rsidR="003818D4" w:rsidRPr="005F3FEC">
        <w:rPr>
          <w:rFonts w:asciiTheme="majorBidi" w:hAnsiTheme="majorBidi" w:cstheme="majorBidi"/>
          <w:bCs/>
          <w:color w:val="161616"/>
          <w:w w:val="105"/>
          <w:sz w:val="24"/>
          <w:szCs w:val="24"/>
          <w:lang w:val="tr-TR"/>
        </w:rPr>
        <w:t>r</w:t>
      </w:r>
      <w:r w:rsidR="003818D4" w:rsidRPr="005F3FEC">
        <w:rPr>
          <w:rFonts w:asciiTheme="majorBidi" w:hAnsiTheme="majorBidi" w:cstheme="majorBidi"/>
          <w:bCs/>
          <w:color w:val="161616"/>
          <w:spacing w:val="-2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w w:val="105"/>
          <w:sz w:val="24"/>
          <w:szCs w:val="24"/>
          <w:lang w:val="tr-TR"/>
        </w:rPr>
        <w:t>katmak</w:t>
      </w:r>
      <w:r w:rsidR="003818D4" w:rsidRPr="005F3FEC">
        <w:rPr>
          <w:rFonts w:asciiTheme="majorBidi" w:hAnsiTheme="majorBidi" w:cstheme="majorBidi"/>
          <w:bCs/>
          <w:color w:val="282828"/>
          <w:spacing w:val="7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w w:val="105"/>
          <w:sz w:val="24"/>
          <w:szCs w:val="24"/>
          <w:lang w:val="tr-TR"/>
        </w:rPr>
        <w:t>adına</w:t>
      </w:r>
      <w:r w:rsidR="003818D4" w:rsidRPr="005F3FEC">
        <w:rPr>
          <w:rFonts w:asciiTheme="majorBidi" w:hAnsiTheme="majorBidi" w:cstheme="majorBidi"/>
          <w:bCs/>
          <w:color w:val="282828"/>
          <w:spacing w:val="7"/>
          <w:w w:val="10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161616"/>
          <w:spacing w:val="11"/>
          <w:w w:val="105"/>
          <w:sz w:val="24"/>
          <w:szCs w:val="24"/>
          <w:lang w:val="tr-TR"/>
        </w:rPr>
        <w:t>b</w:t>
      </w:r>
      <w:r w:rsidR="003818D4" w:rsidRPr="005F3FEC">
        <w:rPr>
          <w:rFonts w:asciiTheme="majorBidi" w:hAnsiTheme="majorBidi" w:cstheme="majorBidi"/>
          <w:bCs/>
          <w:color w:val="3A3A3A"/>
          <w:w w:val="105"/>
          <w:sz w:val="24"/>
          <w:szCs w:val="24"/>
          <w:lang w:val="tr-TR"/>
        </w:rPr>
        <w:t>enimsemiş</w:t>
      </w:r>
      <w:r w:rsidRPr="005F3FE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olduğumuz</w:t>
      </w:r>
      <w:r w:rsidR="003818D4" w:rsidRPr="005F3FEC">
        <w:rPr>
          <w:rFonts w:asciiTheme="majorBidi" w:hAnsiTheme="majorBidi" w:cstheme="majorBidi"/>
          <w:bCs/>
          <w:color w:val="282828"/>
          <w:spacing w:val="-12"/>
          <w:sz w:val="24"/>
          <w:szCs w:val="24"/>
          <w:lang w:val="tr-TR"/>
        </w:rPr>
        <w:t xml:space="preserve"> </w:t>
      </w:r>
      <w:r w:rsidR="00D437F6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İş Sağlığı ve Güvenliği </w:t>
      </w:r>
      <w:r w:rsidR="003818D4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politikamız</w:t>
      </w:r>
      <w:r w:rsidR="003818D4" w:rsidRPr="005F3FEC">
        <w:rPr>
          <w:rFonts w:asciiTheme="majorBidi" w:eastAsia="Times New Roman" w:hAnsiTheme="majorBidi" w:cstheme="majorBidi"/>
          <w:bCs/>
          <w:color w:val="494949"/>
          <w:spacing w:val="-13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bugünün küçükleri yarının büyükleri</w:t>
      </w:r>
      <w:r w:rsidR="003818D4" w:rsidRPr="005F3FEC">
        <w:rPr>
          <w:rFonts w:asciiTheme="majorBidi" w:hAnsiTheme="majorBidi" w:cstheme="majorBidi"/>
          <w:bCs/>
          <w:color w:val="282828"/>
          <w:spacing w:val="6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çocuklarımıza</w:t>
      </w:r>
      <w:r w:rsidR="003818D4" w:rsidRPr="005F3FEC">
        <w:rPr>
          <w:rFonts w:asciiTheme="majorBidi" w:hAnsiTheme="majorBidi" w:cstheme="majorBidi"/>
          <w:bCs/>
          <w:color w:val="282828"/>
          <w:w w:val="102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eğitimlerini</w:t>
      </w:r>
      <w:r w:rsidR="003818D4" w:rsidRPr="005F3FEC">
        <w:rPr>
          <w:rFonts w:asciiTheme="majorBidi" w:hAnsiTheme="majorBidi" w:cstheme="majorBidi"/>
          <w:bCs/>
          <w:color w:val="282828"/>
          <w:spacing w:val="3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3A3A3A"/>
          <w:spacing w:val="-3"/>
          <w:sz w:val="24"/>
          <w:szCs w:val="24"/>
          <w:lang w:val="tr-TR"/>
        </w:rPr>
        <w:t>s</w:t>
      </w:r>
      <w:r w:rsidR="003818D4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ürdürebilecekleri</w:t>
      </w:r>
      <w:r w:rsidR="003818D4" w:rsidRPr="005F3FEC">
        <w:rPr>
          <w:rFonts w:asciiTheme="majorBidi" w:hAnsiTheme="majorBidi" w:cstheme="majorBidi"/>
          <w:bCs/>
          <w:color w:val="161616"/>
          <w:spacing w:val="55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güvenli</w:t>
      </w:r>
      <w:r w:rsidR="003818D4" w:rsidRPr="005F3FEC">
        <w:rPr>
          <w:rFonts w:asciiTheme="majorBidi" w:hAnsiTheme="majorBidi" w:cstheme="majorBidi"/>
          <w:bCs/>
          <w:color w:val="282828"/>
          <w:spacing w:val="26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ortamlar</w:t>
      </w:r>
      <w:r w:rsidR="003818D4" w:rsidRPr="005F3FEC">
        <w:rPr>
          <w:rFonts w:asciiTheme="majorBidi" w:hAnsiTheme="majorBidi" w:cstheme="majorBidi"/>
          <w:bCs/>
          <w:color w:val="282828"/>
          <w:spacing w:val="39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282828"/>
          <w:sz w:val="24"/>
          <w:szCs w:val="24"/>
          <w:lang w:val="tr-TR"/>
        </w:rPr>
        <w:t>oluşturarak</w:t>
      </w:r>
      <w:r w:rsidR="003818D4" w:rsidRPr="005F3FEC">
        <w:rPr>
          <w:rFonts w:asciiTheme="majorBidi" w:hAnsiTheme="majorBidi" w:cstheme="majorBidi"/>
          <w:bCs/>
          <w:color w:val="282828"/>
          <w:spacing w:val="35"/>
          <w:sz w:val="24"/>
          <w:szCs w:val="24"/>
          <w:lang w:val="tr-TR"/>
        </w:rPr>
        <w:t xml:space="preserve"> </w:t>
      </w:r>
      <w:r w:rsidR="00D437F6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İş Sağlığı ve Güvenliği </w:t>
      </w:r>
      <w:r w:rsidR="003818D4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kültürünün erken yaşlarda kazanılmasını sağlamaktır.</w:t>
      </w:r>
    </w:p>
    <w:p w:rsidR="00D437F6" w:rsidRPr="005F3FEC" w:rsidRDefault="00D437F6" w:rsidP="003818D4">
      <w:pP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3818D4" w:rsidRPr="005F3FEC" w:rsidRDefault="00D437F6" w:rsidP="007377A3">
      <w:pPr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  </w:t>
      </w:r>
      <w:r w:rsidR="00A93BF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 </w:t>
      </w:r>
      <w:r w:rsidR="000F5ED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ab/>
      </w:r>
      <w:r w:rsidR="003818D4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Okulumuz bünyesinde eğitim almış tüm çocuklarımızın iş sağlığı ve güvenliğini anlamış ve hayatlarında uyguluyor olmaları hedeflenmiştir.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3818D4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’’Her işin başı İş Sağlığı Önlemi’’ sloganıyla güvenli okul kavramı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nı </w:t>
      </w:r>
      <w:r w:rsidR="003818D4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oluşturarak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riskleri en aza indirmektir.</w:t>
      </w:r>
    </w:p>
    <w:p w:rsidR="00D437F6" w:rsidRPr="005F3FEC" w:rsidRDefault="00D437F6" w:rsidP="003818D4">
      <w:pP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522AFD" w:rsidRPr="005F3FEC" w:rsidRDefault="00D437F6" w:rsidP="005F3FEC">
      <w:pPr>
        <w:widowControl/>
        <w:autoSpaceDE w:val="0"/>
        <w:autoSpaceDN w:val="0"/>
        <w:adjustRightInd w:val="0"/>
        <w:ind w:right="19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A93BF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 </w:t>
      </w:r>
      <w:r w:rsidR="000F5ED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ab/>
      </w:r>
      <w:r w:rsidR="00A93BF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Çalışanlarımızın öğrencilerimizin, ziyaretçi ve velilerimizin sağlık ve güvenliklerini temin etmek için, </w:t>
      </w:r>
      <w:r w:rsidR="000F5ED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tüm yasal ve 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yürürlükte</w:t>
      </w:r>
      <w:r w:rsidR="000F5ED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bulunan İSG mevzuatlarını karşılamayı,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İSG ile ilgili </w:t>
      </w:r>
      <w:proofErr w:type="gramStart"/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diğer  gerekliliklere</w:t>
      </w:r>
      <w:proofErr w:type="gramEnd"/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uygun olarak tedbir almayı, Kişisel Koruyucu Do</w:t>
      </w:r>
      <w:r w:rsid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nanım alıp 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kullandırmayı</w:t>
      </w:r>
      <w:r w:rsid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, </w:t>
      </w:r>
      <w:r w:rsid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tüm </w:t>
      </w:r>
      <w:r w:rsidR="00522AFD" w:rsidRPr="005F3FEC">
        <w:rPr>
          <w:rFonts w:asciiTheme="majorBidi" w:hAnsiTheme="majorBidi" w:cstheme="majorBidi"/>
          <w:bCs/>
          <w:sz w:val="24"/>
          <w:szCs w:val="24"/>
          <w:lang w:val="tr-TR"/>
        </w:rPr>
        <w:t>çalışanları yaptıkları işlerde iş sağlığı ve güvenliğine ilişkin kurallara kesinlikle uymayı hedef</w:t>
      </w:r>
      <w:r w:rsidR="00FA0105">
        <w:rPr>
          <w:rFonts w:asciiTheme="majorBidi" w:hAnsiTheme="majorBidi" w:cstheme="majorBidi"/>
          <w:bCs/>
          <w:sz w:val="24"/>
          <w:szCs w:val="24"/>
          <w:lang w:val="tr-TR"/>
        </w:rPr>
        <w:t>,</w:t>
      </w:r>
      <w:r w:rsidR="007377A3">
        <w:rPr>
          <w:rFonts w:asciiTheme="majorBidi" w:hAnsiTheme="majorBidi" w:cstheme="majorBidi"/>
          <w:bCs/>
          <w:sz w:val="24"/>
          <w:szCs w:val="24"/>
          <w:lang w:val="tr-TR"/>
        </w:rPr>
        <w:t xml:space="preserve"> ilke olarak benimser,</w:t>
      </w:r>
      <w:r w:rsidR="00522AFD"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</w:p>
    <w:p w:rsidR="00D437F6" w:rsidRPr="005F3FEC" w:rsidRDefault="00D437F6" w:rsidP="00D437F6">
      <w:pPr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3818D4" w:rsidRDefault="005F3FEC">
      <w:pPr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</w:t>
      </w:r>
      <w:r w:rsidR="000F5ED3"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r w:rsidR="00D437F6" w:rsidRPr="005F3FEC">
        <w:rPr>
          <w:rFonts w:asciiTheme="majorBidi" w:hAnsiTheme="majorBidi" w:cstheme="majorBidi"/>
          <w:bCs/>
          <w:sz w:val="24"/>
          <w:szCs w:val="24"/>
          <w:lang w:val="tr-TR"/>
        </w:rPr>
        <w:t>Okul</w:t>
      </w:r>
      <w:r w:rsidR="00D47012" w:rsidRPr="005F3FEC">
        <w:rPr>
          <w:rFonts w:asciiTheme="majorBidi" w:hAnsiTheme="majorBidi" w:cstheme="majorBidi"/>
          <w:bCs/>
          <w:sz w:val="24"/>
          <w:szCs w:val="24"/>
          <w:lang w:val="tr-TR"/>
        </w:rPr>
        <w:t>umuzda olabilecek iş kazası ve meslek hastalıklarını doğurabilecek</w:t>
      </w:r>
      <w:r w:rsidR="003A7239"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, emniyetsiz durum ve hareketleri, olası kaza risklerini etkin bir risk değerlendirmesini yaparak tespit etme ve riskleri en aza indirmeyi imkanlar </w:t>
      </w:r>
      <w:proofErr w:type="gramStart"/>
      <w:r w:rsidR="003A7239" w:rsidRPr="005F3FEC">
        <w:rPr>
          <w:rFonts w:asciiTheme="majorBidi" w:hAnsiTheme="majorBidi" w:cstheme="majorBidi"/>
          <w:bCs/>
          <w:sz w:val="24"/>
          <w:szCs w:val="24"/>
          <w:lang w:val="tr-TR"/>
        </w:rPr>
        <w:t>dahilinde</w:t>
      </w:r>
      <w:proofErr w:type="gramEnd"/>
      <w:r w:rsidR="003A7239"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ortadan kaldırmayı,</w:t>
      </w:r>
    </w:p>
    <w:p w:rsidR="000F5ED3" w:rsidRDefault="000F5ED3">
      <w:pPr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0F5ED3" w:rsidRPr="005F3FEC" w:rsidRDefault="000F5ED3">
      <w:pPr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ab/>
        <w:t>İş sağlığı ve güvenliği kültürünü sürekli iyileştirerek sürdürebilir ‘Sıfır iş Kazası’ hedefine ulaşmayı taahhüt etmektedir.</w:t>
      </w:r>
    </w:p>
    <w:p w:rsidR="005F3FEC" w:rsidRDefault="005F3FEC">
      <w:pP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5F3FEC" w:rsidRPr="005F3FEC" w:rsidRDefault="005F3FEC" w:rsidP="007377A3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     </w:t>
      </w:r>
      <w:r w:rsidR="000F5ED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3A7239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İş Sağlığı ve Güvenliği bilincinin geliştirilmesi, yerleştirilmesi ve sürekliliğin sağlanması için eğitimler yapmayı,</w:t>
      </w:r>
      <w:r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>Tedarikçilerimiz</w:t>
      </w:r>
      <w:r w:rsidRPr="005F3FEC">
        <w:rPr>
          <w:rFonts w:asciiTheme="majorBidi" w:hAnsiTheme="majorBidi" w:cstheme="majorBidi"/>
          <w:bCs/>
          <w:sz w:val="24"/>
          <w:szCs w:val="24"/>
          <w:lang w:val="tr-TR"/>
        </w:rPr>
        <w:t>de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>n</w:t>
      </w:r>
      <w:r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TS 18001 İş Sağlığı ve Güvenliği Yönetim Sistemi Standardına </w:t>
      </w:r>
      <w:r w:rsidR="007377A3">
        <w:rPr>
          <w:rFonts w:asciiTheme="majorBidi" w:hAnsiTheme="majorBidi" w:cstheme="majorBidi"/>
          <w:bCs/>
          <w:sz w:val="24"/>
          <w:szCs w:val="24"/>
          <w:lang w:val="tr-TR"/>
        </w:rPr>
        <w:t>uygun çalışma yapmalarını ister,</w:t>
      </w:r>
      <w:r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</w:p>
    <w:p w:rsidR="005F3FEC" w:rsidRDefault="005F3FEC">
      <w:pPr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</w:p>
    <w:p w:rsidR="003A7239" w:rsidRPr="005F3FEC" w:rsidRDefault="007377A3">
      <w:pP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</w:t>
      </w:r>
      <w:r w:rsidR="000F5ED3"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Cs/>
          <w:sz w:val="24"/>
          <w:szCs w:val="24"/>
          <w:lang w:val="tr-TR"/>
        </w:rPr>
        <w:t>Ali Kuşçu</w:t>
      </w:r>
      <w:r w:rsidR="005F3FEC" w:rsidRPr="005F3FEC">
        <w:rPr>
          <w:rFonts w:asciiTheme="majorBidi" w:hAnsiTheme="majorBidi" w:cstheme="majorBidi"/>
          <w:bCs/>
          <w:sz w:val="24"/>
          <w:szCs w:val="24"/>
          <w:lang w:val="tr-TR"/>
        </w:rPr>
        <w:t xml:space="preserve"> İlkokulu Üst Yönetimi ve tüm çalışanları “Hiçbir iş;  çalışanların can güvenliğini ve sağlığını tehlikeye sokacak kadar acil ve önemli değildir.” düşüncesiyle yola çıkar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>,</w:t>
      </w:r>
    </w:p>
    <w:p w:rsidR="005F3FEC" w:rsidRDefault="005F3FEC">
      <w:pP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5F3FEC" w:rsidRDefault="005F3FEC" w:rsidP="005F3FEC">
      <w:pPr>
        <w:ind w:right="-426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         </w:t>
      </w:r>
      <w:r w:rsidR="000F5ED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ab/>
      </w:r>
      <w:r w:rsidR="003A7239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Bu doğrultuda kurulmuş ve yürütülmekte olan 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İş Sağlığı ve Güvenliği</w:t>
      </w:r>
      <w:r w:rsidR="003A7239"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Yönetim Siste</w:t>
      </w:r>
      <w:r w:rsidR="007377A3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mimizin sürekliliğini sağlamayı,</w:t>
      </w:r>
    </w:p>
    <w:p w:rsidR="005F3FEC" w:rsidRDefault="005F3FEC" w:rsidP="005F3FEC">
      <w:pPr>
        <w:ind w:right="-426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5F3FEC" w:rsidRPr="005F3FEC" w:rsidRDefault="005F3FEC" w:rsidP="005F3FEC">
      <w:pPr>
        <w:ind w:right="-426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3A7239" w:rsidRPr="005F3FEC" w:rsidRDefault="003A7239" w:rsidP="005F3FEC">
      <w:pPr>
        <w:jc w:val="center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İSG Politikamız olarak TAAHHÜT ederiz.</w:t>
      </w:r>
    </w:p>
    <w:p w:rsidR="003A7239" w:rsidRDefault="003A7239" w:rsidP="005F3FE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0564FE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</w:p>
    <w:sectPr w:rsidR="003A7239" w:rsidSect="0044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A3" w:rsidRDefault="003D5AA3" w:rsidP="003A7239">
      <w:r>
        <w:separator/>
      </w:r>
    </w:p>
  </w:endnote>
  <w:endnote w:type="continuationSeparator" w:id="0">
    <w:p w:rsidR="003D5AA3" w:rsidRDefault="003D5AA3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AA" w:rsidRDefault="006246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6"/>
      <w:gridCol w:w="3493"/>
      <w:gridCol w:w="2149"/>
    </w:tblGrid>
    <w:tr w:rsidR="00522AFD" w:rsidRPr="00A93BF3" w:rsidTr="008C288B">
      <w:trPr>
        <w:cantSplit/>
        <w:trHeight w:val="247"/>
      </w:trPr>
      <w:tc>
        <w:tcPr>
          <w:tcW w:w="4181" w:type="dxa"/>
        </w:tcPr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 w:rsidRPr="001E3EB7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3686" w:type="dxa"/>
        </w:tcPr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  <w:tc>
        <w:tcPr>
          <w:tcW w:w="2268" w:type="dxa"/>
        </w:tcPr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sz w:val="24"/>
              <w:szCs w:val="24"/>
            </w:rPr>
            <w:t>Sayfa</w:t>
          </w:r>
          <w:proofErr w:type="spellEnd"/>
          <w:r w:rsidRPr="001E3EB7">
            <w:rPr>
              <w:rFonts w:ascii="Times New Roman" w:hAnsi="Times New Roman" w:cs="Times New Roman"/>
              <w:sz w:val="24"/>
              <w:szCs w:val="24"/>
            </w:rPr>
            <w:t xml:space="preserve"> No</w:t>
          </w:r>
        </w:p>
      </w:tc>
    </w:tr>
    <w:tr w:rsidR="00522AFD" w:rsidRPr="00A93BF3" w:rsidTr="008C288B">
      <w:trPr>
        <w:cantSplit/>
        <w:trHeight w:val="301"/>
      </w:trPr>
      <w:tc>
        <w:tcPr>
          <w:tcW w:w="4181" w:type="dxa"/>
        </w:tcPr>
        <w:p w:rsidR="00522AFD" w:rsidRPr="001E3EB7" w:rsidRDefault="00522AFD" w:rsidP="00522AF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</w:t>
          </w:r>
          <w:proofErr w:type="spellEnd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</w:t>
          </w:r>
          <w:proofErr w:type="spellEnd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Temsilcisi</w:t>
          </w:r>
          <w:proofErr w:type="spellEnd"/>
        </w:p>
      </w:tc>
      <w:tc>
        <w:tcPr>
          <w:tcW w:w="3686" w:type="dxa"/>
        </w:tcPr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Okul</w:t>
          </w:r>
          <w:proofErr w:type="spellEnd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Müdürü</w:t>
          </w:r>
          <w:proofErr w:type="spellEnd"/>
        </w:p>
      </w:tc>
      <w:tc>
        <w:tcPr>
          <w:tcW w:w="2268" w:type="dxa"/>
          <w:vMerge w:val="restart"/>
        </w:tcPr>
        <w:p w:rsidR="00522AFD" w:rsidRPr="001E3EB7" w:rsidRDefault="00522AFD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sz w:val="24"/>
              <w:szCs w:val="24"/>
            </w:rPr>
            <w:t>Sayfa</w:t>
          </w:r>
          <w:proofErr w:type="spellEnd"/>
          <w:r w:rsidRPr="001E3EB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E3EB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E3EB7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1E3EB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46A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1E3EB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1E3EB7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1E3EB7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1E3EB7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</w:instrText>
          </w:r>
          <w:r w:rsidRPr="001E3EB7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6246A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1E3EB7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  <w:tr w:rsidR="00522AFD" w:rsidRPr="00A93BF3" w:rsidTr="008C288B">
      <w:trPr>
        <w:cantSplit/>
        <w:trHeight w:val="247"/>
      </w:trPr>
      <w:tc>
        <w:tcPr>
          <w:tcW w:w="4181" w:type="dxa"/>
        </w:tcPr>
        <w:p w:rsidR="00522AFD" w:rsidRPr="001E3EB7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22AFD" w:rsidRPr="001E3EB7" w:rsidRDefault="00A93BF3" w:rsidP="00522AFD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İSMET  BAĞIR</w:t>
          </w:r>
        </w:p>
        <w:p w:rsidR="00522AFD" w:rsidRPr="001E3EB7" w:rsidRDefault="00522AFD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522AFD" w:rsidRPr="001E3EB7" w:rsidRDefault="00522AFD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86" w:type="dxa"/>
        </w:tcPr>
        <w:p w:rsidR="00522AFD" w:rsidRPr="001E3EB7" w:rsidRDefault="00522AFD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522AFD" w:rsidRPr="001E3EB7" w:rsidRDefault="00A93BF3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HASAN  ATABEY</w:t>
          </w:r>
        </w:p>
      </w:tc>
      <w:tc>
        <w:tcPr>
          <w:tcW w:w="2268" w:type="dxa"/>
          <w:vMerge/>
        </w:tcPr>
        <w:p w:rsidR="00522AFD" w:rsidRPr="00A93BF3" w:rsidRDefault="00522AFD" w:rsidP="00522AFD">
          <w:pPr>
            <w:pStyle w:val="Altbilgi"/>
            <w:rPr>
              <w:sz w:val="24"/>
              <w:szCs w:val="24"/>
            </w:rPr>
          </w:pPr>
        </w:p>
      </w:tc>
    </w:tr>
    <w:bookmarkEnd w:id="0"/>
  </w:tbl>
  <w:p w:rsidR="00522AFD" w:rsidRPr="00A93BF3" w:rsidRDefault="00522AFD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AA" w:rsidRDefault="006246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A3" w:rsidRDefault="003D5AA3" w:rsidP="003A7239">
      <w:r>
        <w:separator/>
      </w:r>
    </w:p>
  </w:footnote>
  <w:footnote w:type="continuationSeparator" w:id="0">
    <w:p w:rsidR="003D5AA3" w:rsidRDefault="003D5AA3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AA" w:rsidRDefault="006246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4852"/>
      <w:gridCol w:w="1701"/>
      <w:gridCol w:w="1385"/>
    </w:tblGrid>
    <w:tr w:rsidR="003A7239" w:rsidTr="00FA0105"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CF0B8D" w:rsidP="00CF0B8D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6E846D2" wp14:editId="47F1CCA4">
                <wp:extent cx="1114425" cy="1238250"/>
                <wp:effectExtent l="0" t="0" r="9525" b="0"/>
                <wp:docPr id="1" name="Resim 1" descr="C:\Users\umut\Desktop\ali-kuscu-ilkokulu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umut\Desktop\ali-kuscu-ilkokul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3A7239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A7239" w:rsidRPr="00CE4D14" w:rsidRDefault="003A7239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4D14">
            <w:rPr>
              <w:rFonts w:ascii="Arial" w:hAnsi="Arial" w:cs="Arial"/>
              <w:b/>
              <w:sz w:val="20"/>
              <w:szCs w:val="20"/>
            </w:rPr>
            <w:t>T.C.</w:t>
          </w:r>
        </w:p>
        <w:p w:rsidR="003A7239" w:rsidRPr="001E3EB7" w:rsidRDefault="001E3EB7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b/>
              <w:sz w:val="24"/>
              <w:szCs w:val="24"/>
            </w:rPr>
            <w:t>BAĞLAR</w:t>
          </w:r>
          <w:r w:rsidR="003A7239" w:rsidRPr="001E3EB7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3A7239" w:rsidRPr="001E3EB7" w:rsidRDefault="00CE4D14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b/>
              <w:sz w:val="24"/>
              <w:szCs w:val="24"/>
            </w:rPr>
            <w:t xml:space="preserve">Ali </w:t>
          </w:r>
          <w:proofErr w:type="spellStart"/>
          <w:r w:rsidRPr="001E3EB7">
            <w:rPr>
              <w:rFonts w:ascii="Times New Roman" w:hAnsi="Times New Roman" w:cs="Times New Roman"/>
              <w:b/>
              <w:sz w:val="24"/>
              <w:szCs w:val="24"/>
            </w:rPr>
            <w:t>Kuşçu</w:t>
          </w:r>
          <w:proofErr w:type="spellEnd"/>
          <w:r w:rsidR="003A7239" w:rsidRPr="001E3EB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3A7239" w:rsidRPr="001E3EB7">
            <w:rPr>
              <w:rFonts w:ascii="Times New Roman" w:hAnsi="Times New Roman" w:cs="Times New Roman"/>
              <w:b/>
              <w:sz w:val="24"/>
              <w:szCs w:val="24"/>
            </w:rPr>
            <w:t>İlkokulu</w:t>
          </w:r>
          <w:proofErr w:type="spellEnd"/>
          <w:r w:rsidR="009D272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9D2723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  <w:proofErr w:type="spellEnd"/>
        </w:p>
        <w:p w:rsidR="003A7239" w:rsidRPr="001E3EB7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E4D14" w:rsidRDefault="00522AFD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İSG POLİTİKASI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Döküman</w:t>
          </w:r>
          <w:proofErr w:type="spellEnd"/>
          <w:r w:rsidRPr="00CE4D14">
            <w:rPr>
              <w:rFonts w:ascii="Arial" w:hAnsi="Arial" w:cs="Arial"/>
              <w:sz w:val="20"/>
              <w:szCs w:val="20"/>
            </w:rPr>
            <w:t xml:space="preserve"> No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CE4D14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CE4D14">
            <w:rPr>
              <w:rFonts w:ascii="Arial" w:hAnsi="Arial" w:cs="Arial"/>
              <w:sz w:val="20"/>
              <w:szCs w:val="20"/>
            </w:rPr>
            <w:t>İSG AK</w:t>
          </w:r>
          <w:r w:rsidR="00A01FE6">
            <w:rPr>
              <w:rFonts w:ascii="Arial" w:hAnsi="Arial" w:cs="Arial"/>
              <w:sz w:val="20"/>
              <w:szCs w:val="20"/>
            </w:rPr>
            <w:t xml:space="preserve"> D.</w:t>
          </w:r>
          <w:r w:rsidR="005F3FEC" w:rsidRPr="00CE4D14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3A7239" w:rsidTr="00FA0105"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48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Sayfa</w:t>
          </w:r>
          <w:proofErr w:type="spellEnd"/>
          <w:r w:rsidRPr="00CE4D14">
            <w:rPr>
              <w:rFonts w:ascii="Arial" w:hAnsi="Arial" w:cs="Arial"/>
              <w:sz w:val="20"/>
              <w:szCs w:val="20"/>
            </w:rPr>
            <w:t xml:space="preserve"> No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A33E70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1/1</w:t>
          </w:r>
        </w:p>
      </w:tc>
    </w:tr>
    <w:tr w:rsidR="003A7239" w:rsidTr="00FA0105"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48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Revizyon</w:t>
          </w:r>
          <w:proofErr w:type="spellEnd"/>
          <w:r w:rsidRPr="00CE4D14">
            <w:rPr>
              <w:rFonts w:ascii="Arial" w:hAnsi="Arial" w:cs="Arial"/>
              <w:sz w:val="20"/>
              <w:szCs w:val="20"/>
            </w:rPr>
            <w:t xml:space="preserve"> No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A33E70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0.0</w:t>
          </w:r>
        </w:p>
      </w:tc>
    </w:tr>
    <w:tr w:rsidR="003A7239" w:rsidTr="00FA0105"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48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Revizyon</w:t>
          </w:r>
          <w:proofErr w:type="spellEnd"/>
          <w:r w:rsidRPr="00CE4D1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Tarihi</w:t>
          </w:r>
          <w:proofErr w:type="spell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A33E70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3A7239" w:rsidTr="00FA0105"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48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Düzenleme</w:t>
          </w:r>
          <w:proofErr w:type="spellEnd"/>
          <w:r w:rsidRPr="00CE4D1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Tarihi</w:t>
          </w:r>
          <w:proofErr w:type="spell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E4D14" w:rsidRDefault="009D2723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25</w:t>
          </w:r>
          <w:r w:rsidR="00CE4D14" w:rsidRPr="00CE4D14">
            <w:rPr>
              <w:rFonts w:ascii="Arial" w:hAnsi="Arial" w:cs="Arial"/>
              <w:sz w:val="20"/>
              <w:szCs w:val="20"/>
            </w:rPr>
            <w:t>.12</w:t>
          </w:r>
          <w:r w:rsidR="003A7239" w:rsidRPr="00CE4D14">
            <w:rPr>
              <w:rFonts w:ascii="Arial" w:hAnsi="Arial" w:cs="Arial"/>
              <w:sz w:val="20"/>
              <w:szCs w:val="20"/>
            </w:rPr>
            <w:t>.2018</w:t>
          </w:r>
        </w:p>
      </w:tc>
    </w:tr>
    <w:tr w:rsidR="003A7239" w:rsidTr="00FA0105">
      <w:trPr>
        <w:trHeight w:val="606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48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Kurum</w:t>
          </w:r>
          <w:proofErr w:type="spellEnd"/>
          <w:r w:rsidRPr="00CE4D1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CE4D14">
            <w:rPr>
              <w:rFonts w:ascii="Arial" w:hAnsi="Arial" w:cs="Arial"/>
              <w:sz w:val="20"/>
              <w:szCs w:val="20"/>
            </w:rPr>
            <w:t>Kodu</w:t>
          </w:r>
          <w:proofErr w:type="spellEnd"/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3A7239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  <w:p w:rsidR="003A7239" w:rsidRPr="00CE4D14" w:rsidRDefault="00CE4D14" w:rsidP="003A7239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CE4D14">
            <w:rPr>
              <w:rFonts w:ascii="Arial" w:hAnsi="Arial" w:cs="Arial"/>
              <w:sz w:val="20"/>
              <w:szCs w:val="20"/>
            </w:rPr>
            <w:t>745569</w:t>
          </w:r>
        </w:p>
      </w:tc>
    </w:tr>
  </w:tbl>
  <w:p w:rsidR="003A7239" w:rsidRDefault="003A72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AA" w:rsidRDefault="006246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D4"/>
    <w:rsid w:val="000564FE"/>
    <w:rsid w:val="00071EDA"/>
    <w:rsid w:val="00082613"/>
    <w:rsid w:val="000D5BF8"/>
    <w:rsid w:val="000F5ED3"/>
    <w:rsid w:val="00171C0D"/>
    <w:rsid w:val="001E3EB7"/>
    <w:rsid w:val="003818D4"/>
    <w:rsid w:val="003A7239"/>
    <w:rsid w:val="003D5AA3"/>
    <w:rsid w:val="00443B10"/>
    <w:rsid w:val="00522AFD"/>
    <w:rsid w:val="00527103"/>
    <w:rsid w:val="005C6870"/>
    <w:rsid w:val="005F3FEC"/>
    <w:rsid w:val="006246AA"/>
    <w:rsid w:val="00721998"/>
    <w:rsid w:val="007377A3"/>
    <w:rsid w:val="00852C01"/>
    <w:rsid w:val="00872724"/>
    <w:rsid w:val="009C2F17"/>
    <w:rsid w:val="009D2723"/>
    <w:rsid w:val="009D35F5"/>
    <w:rsid w:val="00A01FE6"/>
    <w:rsid w:val="00A33E70"/>
    <w:rsid w:val="00A93BF3"/>
    <w:rsid w:val="00CE4D14"/>
    <w:rsid w:val="00CF0B8D"/>
    <w:rsid w:val="00D437F6"/>
    <w:rsid w:val="00D47012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D684F-80AD-4F5B-BC3D-4D082B7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Aziz</cp:lastModifiedBy>
  <cp:revision>3</cp:revision>
  <dcterms:created xsi:type="dcterms:W3CDTF">2019-03-12T17:17:00Z</dcterms:created>
  <dcterms:modified xsi:type="dcterms:W3CDTF">2019-03-12T17:17:00Z</dcterms:modified>
</cp:coreProperties>
</file>